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D94" w:rsidRPr="000D6D94" w:rsidRDefault="000D6D94" w:rsidP="000D6D94">
      <w:pPr>
        <w:widowControl/>
        <w:spacing w:before="100" w:beforeAutospacing="1" w:after="300"/>
        <w:jc w:val="left"/>
        <w:outlineLvl w:val="0"/>
        <w:rPr>
          <w:rFonts w:ascii="宋体" w:eastAsia="宋体" w:hAnsi="宋体" w:cs="宋体"/>
          <w:b/>
          <w:bCs/>
          <w:color w:val="2D3339"/>
          <w:kern w:val="36"/>
          <w:sz w:val="48"/>
          <w:szCs w:val="48"/>
          <w:lang/>
        </w:rPr>
      </w:pPr>
      <w:r w:rsidRPr="000D6D94">
        <w:rPr>
          <w:rFonts w:ascii="宋体" w:eastAsia="宋体" w:hAnsi="宋体" w:cs="宋体" w:hint="eastAsia"/>
          <w:b/>
          <w:bCs/>
          <w:color w:val="2D3339"/>
          <w:kern w:val="36"/>
          <w:sz w:val="48"/>
          <w:szCs w:val="48"/>
          <w:lang/>
        </w:rPr>
        <w:t>电容器的基础 【第7讲】 陶瓷电容器的静电容量测量法</w:t>
      </w:r>
    </w:p>
    <w:p w:rsidR="000D6D94" w:rsidRPr="000D6D94" w:rsidRDefault="000D6D94" w:rsidP="000D6D94">
      <w:pPr>
        <w:widowControl/>
        <w:spacing w:after="100" w:afterAutospacing="1"/>
        <w:jc w:val="right"/>
        <w:rPr>
          <w:rFonts w:ascii="宋体" w:eastAsia="宋体" w:hAnsi="宋体" w:cs="宋体" w:hint="eastAsia"/>
          <w:color w:val="BBBBBB"/>
          <w:kern w:val="0"/>
          <w:sz w:val="18"/>
          <w:szCs w:val="18"/>
          <w:lang/>
        </w:rPr>
      </w:pPr>
      <w:r w:rsidRPr="000D6D94">
        <w:rPr>
          <w:rFonts w:ascii="宋体" w:eastAsia="宋体" w:hAnsi="宋体" w:cs="宋体" w:hint="eastAsia"/>
          <w:color w:val="BBBBBB"/>
          <w:kern w:val="0"/>
          <w:sz w:val="18"/>
          <w:szCs w:val="18"/>
          <w:lang/>
        </w:rPr>
        <w:t>2012年06月28日</w:t>
      </w:r>
      <w:r w:rsidRPr="000D6D94">
        <w:rPr>
          <w:rFonts w:ascii="宋体" w:eastAsia="宋体" w:hAnsi="宋体" w:cs="宋体" w:hint="eastAsia"/>
          <w:color w:val="BBBBBB"/>
          <w:kern w:val="0"/>
          <w:sz w:val="18"/>
          <w:szCs w:val="18"/>
          <w:lang/>
        </w:rPr>
        <w:br/>
        <w:t>分类: 电容器PLAZA</w:t>
      </w:r>
    </w:p>
    <w:p w:rsidR="000D6D94" w:rsidRPr="000D6D94" w:rsidRDefault="000D6D94" w:rsidP="000D6D94">
      <w:pPr>
        <w:widowControl/>
        <w:jc w:val="left"/>
        <w:rPr>
          <w:rFonts w:ascii="宋体" w:eastAsia="宋体" w:hAnsi="宋体" w:cs="宋体" w:hint="eastAsia"/>
          <w:color w:val="2D3339"/>
          <w:kern w:val="0"/>
          <w:sz w:val="18"/>
          <w:szCs w:val="18"/>
          <w:lang/>
        </w:rPr>
      </w:pPr>
      <w:r w:rsidRPr="000D6D94">
        <w:rPr>
          <w:rFonts w:ascii="宋体" w:eastAsia="宋体" w:hAnsi="宋体" w:cs="宋体" w:hint="eastAsia"/>
          <w:color w:val="2D3339"/>
          <w:kern w:val="0"/>
          <w:sz w:val="18"/>
          <w:szCs w:val="18"/>
          <w:lang/>
        </w:rPr>
        <w:t>本专栏是对电容器的基础进行讲解的技术专栏。</w:t>
      </w:r>
      <w:r w:rsidRPr="000D6D94">
        <w:rPr>
          <w:rFonts w:ascii="宋体" w:eastAsia="宋体" w:hAnsi="宋体" w:cs="宋体" w:hint="eastAsia"/>
          <w:color w:val="2D3339"/>
          <w:kern w:val="0"/>
          <w:sz w:val="18"/>
          <w:szCs w:val="18"/>
          <w:lang/>
        </w:rPr>
        <w:br/>
        <w:t>本次将对陶瓷电容器的静电容量测量方法进行说明。</w:t>
      </w:r>
      <w:r w:rsidRPr="000D6D94">
        <w:rPr>
          <w:rFonts w:ascii="宋体" w:eastAsia="宋体" w:hAnsi="宋体" w:cs="宋体" w:hint="eastAsia"/>
          <w:color w:val="2D3339"/>
          <w:kern w:val="0"/>
          <w:sz w:val="18"/>
          <w:szCs w:val="18"/>
          <w:lang/>
        </w:rPr>
        <w:br/>
      </w:r>
      <w:r w:rsidRPr="000D6D94">
        <w:rPr>
          <w:rFonts w:ascii="宋体" w:eastAsia="宋体" w:hAnsi="宋体" w:cs="宋体" w:hint="eastAsia"/>
          <w:color w:val="2D3339"/>
          <w:kern w:val="0"/>
          <w:sz w:val="18"/>
          <w:szCs w:val="18"/>
          <w:lang/>
        </w:rPr>
        <w:br/>
      </w:r>
      <w:r w:rsidRPr="000D6D94">
        <w:rPr>
          <w:rFonts w:ascii="宋体" w:eastAsia="宋体" w:hAnsi="宋体" w:cs="宋体" w:hint="eastAsia"/>
          <w:color w:val="2D3339"/>
          <w:kern w:val="0"/>
          <w:sz w:val="18"/>
          <w:szCs w:val="18"/>
          <w:u w:val="single"/>
          <w:lang/>
        </w:rPr>
        <w:t>1.测量仪器</w:t>
      </w:r>
      <w:r w:rsidRPr="000D6D94">
        <w:rPr>
          <w:rFonts w:ascii="宋体" w:eastAsia="宋体" w:hAnsi="宋体" w:cs="宋体" w:hint="eastAsia"/>
          <w:color w:val="2D3339"/>
          <w:kern w:val="0"/>
          <w:sz w:val="18"/>
          <w:szCs w:val="18"/>
          <w:lang/>
        </w:rPr>
        <w:br/>
        <w:t>    一般使用LCR测试仪测量陶瓷电容器的静电容量。</w:t>
      </w:r>
      <w:r w:rsidRPr="000D6D94">
        <w:rPr>
          <w:rFonts w:ascii="宋体" w:eastAsia="宋体" w:hAnsi="宋体" w:cs="宋体" w:hint="eastAsia"/>
          <w:color w:val="2D3339"/>
          <w:kern w:val="0"/>
          <w:sz w:val="18"/>
          <w:szCs w:val="18"/>
          <w:lang/>
        </w:rPr>
        <w:br/>
      </w:r>
      <w:r w:rsidRPr="000D6D94">
        <w:rPr>
          <w:rFonts w:ascii="宋体" w:eastAsia="宋体" w:hAnsi="宋体" w:cs="宋体" w:hint="eastAsia"/>
          <w:color w:val="2D3339"/>
          <w:kern w:val="0"/>
          <w:sz w:val="18"/>
          <w:szCs w:val="18"/>
          <w:lang/>
        </w:rPr>
        <w:br/>
      </w:r>
      <w:r>
        <w:rPr>
          <w:rFonts w:ascii="宋体" w:eastAsia="宋体" w:hAnsi="宋体" w:cs="宋体"/>
          <w:noProof/>
          <w:color w:val="0055CC"/>
          <w:kern w:val="0"/>
          <w:sz w:val="18"/>
          <w:szCs w:val="18"/>
        </w:rPr>
        <w:drawing>
          <wp:inline distT="0" distB="0" distL="0" distR="0">
            <wp:extent cx="3810000" cy="666750"/>
            <wp:effectExtent l="19050" t="0" r="0" b="0"/>
            <wp:docPr id="1" name="图片 1" descr="cap_20120514_kan1.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_20120514_kan1.PNG">
                      <a:hlinkClick r:id="rId6"/>
                    </pic:cNvPr>
                    <pic:cNvPicPr>
                      <a:picLocks noChangeAspect="1" noChangeArrowheads="1"/>
                    </pic:cNvPicPr>
                  </pic:nvPicPr>
                  <pic:blipFill>
                    <a:blip r:embed="rId7"/>
                    <a:srcRect/>
                    <a:stretch>
                      <a:fillRect/>
                    </a:stretch>
                  </pic:blipFill>
                  <pic:spPr bwMode="auto">
                    <a:xfrm>
                      <a:off x="0" y="0"/>
                      <a:ext cx="3810000" cy="666750"/>
                    </a:xfrm>
                    <a:prstGeom prst="rect">
                      <a:avLst/>
                    </a:prstGeom>
                    <a:noFill/>
                    <a:ln w="9525">
                      <a:noFill/>
                      <a:miter lim="800000"/>
                      <a:headEnd/>
                      <a:tailEnd/>
                    </a:ln>
                  </pic:spPr>
                </pic:pic>
              </a:graphicData>
            </a:graphic>
          </wp:inline>
        </w:drawing>
      </w:r>
    </w:p>
    <w:p w:rsidR="000D6D94" w:rsidRPr="000D6D94" w:rsidRDefault="000D6D94" w:rsidP="000D6D94">
      <w:pPr>
        <w:widowControl/>
        <w:jc w:val="center"/>
        <w:rPr>
          <w:rFonts w:ascii="宋体" w:eastAsia="宋体" w:hAnsi="宋体" w:cs="宋体" w:hint="eastAsia"/>
          <w:color w:val="2D3339"/>
          <w:kern w:val="0"/>
          <w:sz w:val="18"/>
          <w:szCs w:val="18"/>
          <w:lang/>
        </w:rPr>
      </w:pPr>
      <w:r w:rsidRPr="000D6D94">
        <w:rPr>
          <w:rFonts w:ascii="宋体" w:eastAsia="宋体" w:hAnsi="宋体" w:cs="宋体" w:hint="eastAsia"/>
          <w:color w:val="2D3339"/>
          <w:kern w:val="0"/>
          <w:sz w:val="18"/>
          <w:szCs w:val="18"/>
          <w:lang/>
        </w:rPr>
        <w:t>LCR测试仪的外观照片</w:t>
      </w:r>
    </w:p>
    <w:p w:rsidR="000D6D94" w:rsidRPr="000D6D94" w:rsidRDefault="000D6D94" w:rsidP="000D6D94">
      <w:pPr>
        <w:widowControl/>
        <w:spacing w:before="100" w:beforeAutospacing="1" w:after="100" w:afterAutospacing="1"/>
        <w:jc w:val="left"/>
        <w:rPr>
          <w:rFonts w:ascii="宋体" w:eastAsia="宋体" w:hAnsi="宋体" w:cs="宋体" w:hint="eastAsia"/>
          <w:color w:val="2D3339"/>
          <w:kern w:val="0"/>
          <w:sz w:val="18"/>
          <w:szCs w:val="18"/>
          <w:lang/>
        </w:rPr>
      </w:pPr>
      <w:r w:rsidRPr="000D6D94">
        <w:rPr>
          <w:rFonts w:ascii="宋体" w:eastAsia="宋体" w:hAnsi="宋体" w:cs="宋体" w:hint="eastAsia"/>
          <w:color w:val="2D3339"/>
          <w:kern w:val="0"/>
          <w:sz w:val="18"/>
          <w:szCs w:val="18"/>
          <w:lang/>
        </w:rPr>
        <w:br/>
      </w:r>
      <w:r w:rsidRPr="000D6D94">
        <w:rPr>
          <w:rFonts w:ascii="宋体" w:eastAsia="宋体" w:hAnsi="宋体" w:cs="宋体" w:hint="eastAsia"/>
          <w:color w:val="2D3339"/>
          <w:kern w:val="0"/>
          <w:sz w:val="18"/>
          <w:szCs w:val="18"/>
          <w:lang/>
        </w:rPr>
        <w:br/>
      </w:r>
      <w:r w:rsidRPr="000D6D94">
        <w:rPr>
          <w:rFonts w:ascii="宋体" w:eastAsia="宋体" w:hAnsi="宋体" w:cs="宋体" w:hint="eastAsia"/>
          <w:color w:val="2D3339"/>
          <w:kern w:val="0"/>
          <w:sz w:val="18"/>
          <w:szCs w:val="18"/>
          <w:u w:val="single"/>
          <w:lang/>
        </w:rPr>
        <w:t>2.测量原理</w:t>
      </w:r>
      <w:r w:rsidRPr="000D6D94">
        <w:rPr>
          <w:rFonts w:ascii="宋体" w:eastAsia="宋体" w:hAnsi="宋体" w:cs="宋体" w:hint="eastAsia"/>
          <w:color w:val="2D3339"/>
          <w:kern w:val="0"/>
          <w:sz w:val="18"/>
          <w:szCs w:val="18"/>
          <w:lang/>
        </w:rPr>
        <w:br/>
        <w:t>    LCR测试仪的代表性测量方法如图所示，为自平衡电桥法。其原理如下。</w:t>
      </w:r>
      <w:r w:rsidRPr="000D6D94">
        <w:rPr>
          <w:rFonts w:ascii="宋体" w:eastAsia="宋体" w:hAnsi="宋体" w:cs="宋体" w:hint="eastAsia"/>
          <w:color w:val="2D3339"/>
          <w:kern w:val="0"/>
          <w:sz w:val="18"/>
          <w:szCs w:val="18"/>
          <w:lang/>
        </w:rPr>
        <w:br/>
        <w:t>    DUT为Device Under Test的缩写，指测量对象。高增益放大器会自动调整增益，使通过电阻R的电流与通过DUT的电流相等，DUT 的低电位侧(图中L一侧)一直处于虚拟接地(电位=0)状态。此时的输入电压Ｅ1及输出电压Ｅ2能测出相位角，如下所示。</w:t>
      </w:r>
    </w:p>
    <w:p w:rsidR="000D6D94" w:rsidRPr="000D6D94" w:rsidRDefault="000D6D94" w:rsidP="000D6D94">
      <w:pPr>
        <w:widowControl/>
        <w:spacing w:before="100" w:beforeAutospacing="1" w:after="100" w:afterAutospacing="1"/>
        <w:jc w:val="left"/>
        <w:rPr>
          <w:rFonts w:ascii="宋体" w:eastAsia="宋体" w:hAnsi="宋体" w:cs="宋体" w:hint="eastAsia"/>
          <w:color w:val="2D3339"/>
          <w:kern w:val="0"/>
          <w:sz w:val="18"/>
          <w:szCs w:val="18"/>
          <w:lang/>
        </w:rPr>
      </w:pPr>
      <w:r w:rsidRPr="000D6D94">
        <w:rPr>
          <w:rFonts w:ascii="宋体" w:eastAsia="宋体" w:hAnsi="宋体" w:cs="宋体" w:hint="eastAsia"/>
          <w:color w:val="2D3339"/>
          <w:kern w:val="0"/>
          <w:sz w:val="18"/>
          <w:szCs w:val="18"/>
          <w:lang/>
        </w:rPr>
        <w:br/>
        <w:t xml:space="preserve">　　　E1＝|E1|∠θ1＝|E1|cosθ1+ｊ|E1|sinθ1</w:t>
      </w:r>
      <w:r w:rsidRPr="000D6D94">
        <w:rPr>
          <w:rFonts w:ascii="宋体" w:eastAsia="宋体" w:hAnsi="宋体" w:cs="宋体" w:hint="eastAsia"/>
          <w:color w:val="2D3339"/>
          <w:kern w:val="0"/>
          <w:sz w:val="18"/>
          <w:szCs w:val="18"/>
          <w:lang/>
        </w:rPr>
        <w:br/>
        <w:t xml:space="preserve">　　　E2＝|E2|∠θ2＝|E2|cosθ2+ｊ|E2|sinθ2</w:t>
      </w:r>
    </w:p>
    <w:p w:rsidR="000D6D94" w:rsidRPr="000D6D94" w:rsidRDefault="000D6D94" w:rsidP="000D6D94">
      <w:pPr>
        <w:widowControl/>
        <w:spacing w:before="100" w:beforeAutospacing="1" w:after="100" w:afterAutospacing="1"/>
        <w:jc w:val="left"/>
        <w:rPr>
          <w:rFonts w:ascii="宋体" w:eastAsia="宋体" w:hAnsi="宋体" w:cs="宋体" w:hint="eastAsia"/>
          <w:color w:val="2D3339"/>
          <w:kern w:val="0"/>
          <w:sz w:val="18"/>
          <w:szCs w:val="18"/>
          <w:lang/>
        </w:rPr>
      </w:pPr>
    </w:p>
    <w:p w:rsidR="000D6D94" w:rsidRPr="000D6D94" w:rsidRDefault="000D6D94" w:rsidP="000D6D94">
      <w:pPr>
        <w:widowControl/>
        <w:spacing w:before="100" w:beforeAutospacing="1" w:after="100" w:afterAutospacing="1"/>
        <w:jc w:val="left"/>
        <w:rPr>
          <w:rFonts w:ascii="宋体" w:eastAsia="宋体" w:hAnsi="宋体" w:cs="宋体" w:hint="eastAsia"/>
          <w:color w:val="2D3339"/>
          <w:kern w:val="0"/>
          <w:sz w:val="18"/>
          <w:szCs w:val="18"/>
          <w:lang/>
        </w:rPr>
      </w:pPr>
      <w:r w:rsidRPr="000D6D94">
        <w:rPr>
          <w:rFonts w:ascii="宋体" w:eastAsia="宋体" w:hAnsi="宋体" w:cs="宋体" w:hint="eastAsia"/>
          <w:color w:val="2D3339"/>
          <w:kern w:val="0"/>
          <w:sz w:val="18"/>
          <w:szCs w:val="18"/>
          <w:lang/>
        </w:rPr>
        <w:t>通过这些数据与反馈电阻Ｒ，求出DUT的阻抗</w:t>
      </w:r>
      <w:proofErr w:type="spellStart"/>
      <w:r w:rsidRPr="000D6D94">
        <w:rPr>
          <w:rFonts w:ascii="宋体" w:eastAsia="宋体" w:hAnsi="宋体" w:cs="宋体" w:hint="eastAsia"/>
          <w:color w:val="2D3339"/>
          <w:kern w:val="0"/>
          <w:sz w:val="18"/>
          <w:szCs w:val="18"/>
          <w:lang/>
        </w:rPr>
        <w:t>Zx</w:t>
      </w:r>
      <w:proofErr w:type="spellEnd"/>
      <w:r w:rsidRPr="000D6D94">
        <w:rPr>
          <w:rFonts w:ascii="宋体" w:eastAsia="宋体" w:hAnsi="宋体" w:cs="宋体" w:hint="eastAsia"/>
          <w:color w:val="2D3339"/>
          <w:kern w:val="0"/>
          <w:sz w:val="18"/>
          <w:szCs w:val="18"/>
          <w:lang/>
        </w:rPr>
        <w:t>。</w:t>
      </w:r>
      <w:r w:rsidRPr="000D6D94">
        <w:rPr>
          <w:rFonts w:ascii="宋体" w:eastAsia="宋体" w:hAnsi="宋体" w:cs="宋体" w:hint="eastAsia"/>
          <w:color w:val="2D3339"/>
          <w:kern w:val="0"/>
          <w:sz w:val="18"/>
          <w:szCs w:val="18"/>
          <w:lang/>
        </w:rPr>
        <w:br/>
        <w:t xml:space="preserve">　　　</w:t>
      </w:r>
      <w:proofErr w:type="spellStart"/>
      <w:r w:rsidRPr="000D6D94">
        <w:rPr>
          <w:rFonts w:ascii="宋体" w:eastAsia="宋体" w:hAnsi="宋体" w:cs="宋体" w:hint="eastAsia"/>
          <w:color w:val="2D3339"/>
          <w:kern w:val="0"/>
          <w:sz w:val="18"/>
          <w:szCs w:val="18"/>
          <w:lang/>
        </w:rPr>
        <w:t>Zx</w:t>
      </w:r>
      <w:proofErr w:type="spellEnd"/>
      <w:r w:rsidRPr="000D6D94">
        <w:rPr>
          <w:rFonts w:ascii="宋体" w:eastAsia="宋体" w:hAnsi="宋体" w:cs="宋体" w:hint="eastAsia"/>
          <w:color w:val="2D3339"/>
          <w:kern w:val="0"/>
          <w:sz w:val="18"/>
          <w:szCs w:val="18"/>
          <w:lang/>
        </w:rPr>
        <w:t>＝R</w:t>
      </w:r>
      <w:r w:rsidRPr="000D6D94">
        <w:rPr>
          <w:rFonts w:ascii="MS Mincho" w:eastAsia="MS Mincho" w:hAnsi="MS Mincho" w:cs="MS Mincho" w:hint="eastAsia"/>
          <w:color w:val="2D3339"/>
          <w:kern w:val="0"/>
          <w:sz w:val="18"/>
          <w:szCs w:val="18"/>
          <w:lang/>
        </w:rPr>
        <w:t>･</w:t>
      </w:r>
      <w:r w:rsidRPr="000D6D94">
        <w:rPr>
          <w:rFonts w:ascii="宋体" w:eastAsia="宋体" w:hAnsi="宋体" w:cs="宋体" w:hint="eastAsia"/>
          <w:color w:val="2D3339"/>
          <w:kern w:val="0"/>
          <w:sz w:val="18"/>
          <w:szCs w:val="18"/>
          <w:lang/>
        </w:rPr>
        <w:t>E1/E2</w:t>
      </w:r>
      <w:r w:rsidRPr="000D6D94">
        <w:rPr>
          <w:rFonts w:ascii="宋体" w:eastAsia="宋体" w:hAnsi="宋体" w:cs="宋体" w:hint="eastAsia"/>
          <w:color w:val="2D3339"/>
          <w:kern w:val="0"/>
          <w:sz w:val="18"/>
          <w:szCs w:val="18"/>
          <w:lang/>
        </w:rPr>
        <w:br/>
        <w:t xml:space="preserve">　　　　＝R</w:t>
      </w:r>
      <w:r w:rsidRPr="000D6D94">
        <w:rPr>
          <w:rFonts w:ascii="MS Mincho" w:eastAsia="MS Mincho" w:hAnsi="MS Mincho" w:cs="MS Mincho" w:hint="eastAsia"/>
          <w:color w:val="2D3339"/>
          <w:kern w:val="0"/>
          <w:sz w:val="18"/>
          <w:szCs w:val="18"/>
          <w:lang/>
        </w:rPr>
        <w:t>・</w:t>
      </w:r>
      <w:r w:rsidRPr="000D6D94">
        <w:rPr>
          <w:rFonts w:ascii="宋体" w:eastAsia="宋体" w:hAnsi="宋体" w:cs="宋体" w:hint="eastAsia"/>
          <w:color w:val="2D3339"/>
          <w:kern w:val="0"/>
          <w:sz w:val="18"/>
          <w:szCs w:val="18"/>
          <w:lang/>
        </w:rPr>
        <w:t>|E1/E2|</w:t>
      </w:r>
      <w:r w:rsidRPr="000D6D94">
        <w:rPr>
          <w:rFonts w:ascii="MS Mincho" w:eastAsia="MS Mincho" w:hAnsi="MS Mincho" w:cs="MS Mincho" w:hint="eastAsia"/>
          <w:color w:val="2D3339"/>
          <w:kern w:val="0"/>
          <w:sz w:val="18"/>
          <w:szCs w:val="18"/>
          <w:lang/>
        </w:rPr>
        <w:t>・</w:t>
      </w:r>
      <w:r w:rsidRPr="000D6D94">
        <w:rPr>
          <w:rFonts w:ascii="宋体" w:eastAsia="宋体" w:hAnsi="宋体" w:cs="宋体" w:hint="eastAsia"/>
          <w:color w:val="2D3339"/>
          <w:kern w:val="0"/>
          <w:sz w:val="18"/>
          <w:szCs w:val="18"/>
          <w:lang/>
        </w:rPr>
        <w:t>{</w:t>
      </w:r>
      <w:proofErr w:type="spellStart"/>
      <w:r w:rsidRPr="000D6D94">
        <w:rPr>
          <w:rFonts w:ascii="宋体" w:eastAsia="宋体" w:hAnsi="宋体" w:cs="宋体" w:hint="eastAsia"/>
          <w:color w:val="2D3339"/>
          <w:kern w:val="0"/>
          <w:sz w:val="18"/>
          <w:szCs w:val="18"/>
          <w:lang/>
        </w:rPr>
        <w:t>cos</w:t>
      </w:r>
      <w:proofErr w:type="spellEnd"/>
      <w:r w:rsidRPr="000D6D94">
        <w:rPr>
          <w:rFonts w:ascii="宋体" w:eastAsia="宋体" w:hAnsi="宋体" w:cs="宋体" w:hint="eastAsia"/>
          <w:color w:val="2D3339"/>
          <w:kern w:val="0"/>
          <w:sz w:val="18"/>
          <w:szCs w:val="18"/>
          <w:lang/>
        </w:rPr>
        <w:t>(θ1-θ2)+ｊsin(θ1-θ2)}</w:t>
      </w:r>
      <w:r w:rsidRPr="000D6D94">
        <w:rPr>
          <w:rFonts w:ascii="宋体" w:eastAsia="宋体" w:hAnsi="宋体" w:cs="宋体" w:hint="eastAsia"/>
          <w:color w:val="2D3339"/>
          <w:kern w:val="0"/>
          <w:sz w:val="18"/>
          <w:szCs w:val="18"/>
          <w:lang/>
        </w:rPr>
        <w:br/>
        <w:t>其实部为Rx、虚部为Xx，求得的Xx通过Xx=ｊ/ω</w:t>
      </w:r>
      <w:proofErr w:type="spellStart"/>
      <w:r w:rsidRPr="000D6D94">
        <w:rPr>
          <w:rFonts w:ascii="宋体" w:eastAsia="宋体" w:hAnsi="宋体" w:cs="宋体" w:hint="eastAsia"/>
          <w:color w:val="2D3339"/>
          <w:kern w:val="0"/>
          <w:sz w:val="18"/>
          <w:szCs w:val="18"/>
          <w:lang/>
        </w:rPr>
        <w:t>Cx</w:t>
      </w:r>
      <w:proofErr w:type="spellEnd"/>
      <w:r w:rsidRPr="000D6D94">
        <w:rPr>
          <w:rFonts w:ascii="宋体" w:eastAsia="宋体" w:hAnsi="宋体" w:cs="宋体" w:hint="eastAsia"/>
          <w:color w:val="2D3339"/>
          <w:kern w:val="0"/>
          <w:sz w:val="18"/>
          <w:szCs w:val="18"/>
          <w:lang/>
        </w:rPr>
        <w:t>可以计算出DUT的静电容量</w:t>
      </w:r>
      <w:proofErr w:type="spellStart"/>
      <w:r w:rsidRPr="000D6D94">
        <w:rPr>
          <w:rFonts w:ascii="宋体" w:eastAsia="宋体" w:hAnsi="宋体" w:cs="宋体" w:hint="eastAsia"/>
          <w:color w:val="2D3339"/>
          <w:kern w:val="0"/>
          <w:sz w:val="18"/>
          <w:szCs w:val="18"/>
          <w:lang/>
        </w:rPr>
        <w:t>Cx</w:t>
      </w:r>
      <w:proofErr w:type="spellEnd"/>
      <w:r w:rsidRPr="000D6D94">
        <w:rPr>
          <w:rFonts w:ascii="宋体" w:eastAsia="宋体" w:hAnsi="宋体" w:cs="宋体" w:hint="eastAsia"/>
          <w:color w:val="2D3339"/>
          <w:kern w:val="0"/>
          <w:sz w:val="18"/>
          <w:szCs w:val="18"/>
          <w:lang/>
        </w:rPr>
        <w:t>。</w:t>
      </w:r>
    </w:p>
    <w:p w:rsidR="000D6D94" w:rsidRPr="000D6D94" w:rsidRDefault="000D6D94" w:rsidP="000D6D94">
      <w:pPr>
        <w:widowControl/>
        <w:jc w:val="left"/>
        <w:rPr>
          <w:rFonts w:ascii="宋体" w:eastAsia="宋体" w:hAnsi="宋体" w:cs="宋体" w:hint="eastAsia"/>
          <w:color w:val="2D3339"/>
          <w:kern w:val="0"/>
          <w:sz w:val="18"/>
          <w:szCs w:val="18"/>
          <w:lang/>
        </w:rPr>
      </w:pPr>
      <w:r>
        <w:rPr>
          <w:rFonts w:ascii="宋体" w:eastAsia="宋体" w:hAnsi="宋体" w:cs="宋体"/>
          <w:noProof/>
          <w:color w:val="2D3339"/>
          <w:kern w:val="0"/>
          <w:sz w:val="18"/>
          <w:szCs w:val="18"/>
        </w:rPr>
        <w:lastRenderedPageBreak/>
        <w:drawing>
          <wp:inline distT="0" distB="0" distL="0" distR="0">
            <wp:extent cx="3171825" cy="1866900"/>
            <wp:effectExtent l="19050" t="0" r="9525" b="0"/>
            <wp:docPr id="2" name="图片 2" descr="cap_20120514_ka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_20120514_kan2.PNG"/>
                    <pic:cNvPicPr>
                      <a:picLocks noChangeAspect="1" noChangeArrowheads="1"/>
                    </pic:cNvPicPr>
                  </pic:nvPicPr>
                  <pic:blipFill>
                    <a:blip r:embed="rId8"/>
                    <a:srcRect/>
                    <a:stretch>
                      <a:fillRect/>
                    </a:stretch>
                  </pic:blipFill>
                  <pic:spPr bwMode="auto">
                    <a:xfrm>
                      <a:off x="0" y="0"/>
                      <a:ext cx="3171825" cy="1866900"/>
                    </a:xfrm>
                    <a:prstGeom prst="rect">
                      <a:avLst/>
                    </a:prstGeom>
                    <a:noFill/>
                    <a:ln w="9525">
                      <a:noFill/>
                      <a:miter lim="800000"/>
                      <a:headEnd/>
                      <a:tailEnd/>
                    </a:ln>
                  </pic:spPr>
                </pic:pic>
              </a:graphicData>
            </a:graphic>
          </wp:inline>
        </w:drawing>
      </w:r>
      <w:r w:rsidRPr="000D6D94">
        <w:rPr>
          <w:rFonts w:ascii="宋体" w:eastAsia="宋体" w:hAnsi="宋体" w:cs="宋体" w:hint="eastAsia"/>
          <w:color w:val="2D3339"/>
          <w:kern w:val="0"/>
          <w:sz w:val="18"/>
          <w:szCs w:val="18"/>
          <w:lang/>
        </w:rPr>
        <w:br/>
      </w:r>
      <w:r w:rsidRPr="000D6D94">
        <w:rPr>
          <w:rFonts w:ascii="宋体" w:eastAsia="宋体" w:hAnsi="宋体" w:cs="宋体" w:hint="eastAsia"/>
          <w:color w:val="2D3339"/>
          <w:kern w:val="0"/>
          <w:sz w:val="18"/>
          <w:szCs w:val="18"/>
          <w:u w:val="single"/>
          <w:lang/>
        </w:rPr>
        <w:t>3.注意事项</w:t>
      </w:r>
      <w:r w:rsidRPr="000D6D94">
        <w:rPr>
          <w:rFonts w:ascii="宋体" w:eastAsia="宋体" w:hAnsi="宋体" w:cs="宋体" w:hint="eastAsia"/>
          <w:color w:val="2D3339"/>
          <w:kern w:val="0"/>
          <w:sz w:val="18"/>
          <w:szCs w:val="18"/>
          <w:lang/>
        </w:rPr>
        <w:br/>
        <w:t>    在对陶瓷电容器的静电容量进行测量时，必须在规格书等相关资料上记载的正确测量条件下进行。需要注意的是由于电容标称值等的不同其条件也有所区别。这里所说的条件，主要是指测量前的热处理、测量电压、测量频率数。</w:t>
      </w:r>
      <w:r w:rsidRPr="000D6D94">
        <w:rPr>
          <w:rFonts w:ascii="宋体" w:eastAsia="宋体" w:hAnsi="宋体" w:cs="宋体" w:hint="eastAsia"/>
          <w:color w:val="2D3339"/>
          <w:kern w:val="0"/>
          <w:sz w:val="18"/>
          <w:szCs w:val="18"/>
          <w:lang/>
        </w:rPr>
        <w:br/>
        <w:t>    另外，由于实际上包括测量电缆在内的测量端子的残余阻抗和导纳成分会影响测量结果，因此需要对测量端子进行补正。由于测量端子的补正是使用对端子头直接接触DUT的部分为止的值进行测量并将其阻抗等成分从测量结果中减除的方法，因此需要预先测量出补正值。补正通常会使用短路补正和开路补正。关于测量的详细步骤，请参阅以下文件。</w:t>
      </w:r>
      <w:r w:rsidRPr="000D6D94">
        <w:rPr>
          <w:rFonts w:ascii="宋体" w:eastAsia="宋体" w:hAnsi="宋体" w:cs="宋体" w:hint="eastAsia"/>
          <w:color w:val="2D3339"/>
          <w:kern w:val="0"/>
          <w:sz w:val="18"/>
          <w:szCs w:val="18"/>
          <w:lang/>
        </w:rPr>
        <w:br/>
      </w:r>
      <w:r w:rsidRPr="000D6D94">
        <w:rPr>
          <w:rFonts w:ascii="宋体" w:eastAsia="宋体" w:hAnsi="宋体" w:cs="宋体" w:hint="eastAsia"/>
          <w:color w:val="2D3339"/>
          <w:kern w:val="0"/>
          <w:sz w:val="18"/>
          <w:szCs w:val="18"/>
          <w:lang/>
        </w:rPr>
        <w:br/>
      </w:r>
      <w:hyperlink r:id="rId9" w:history="1">
        <w:r w:rsidRPr="000D6D94">
          <w:rPr>
            <w:rFonts w:ascii="宋体" w:eastAsia="宋体" w:hAnsi="宋体" w:cs="宋体" w:hint="eastAsia"/>
            <w:color w:val="0055CC"/>
            <w:kern w:val="0"/>
            <w:sz w:val="18"/>
            <w:lang/>
          </w:rPr>
          <w:t>关于片状多层陶瓷电容器的静电容量与介质损耗角正切的测量</w:t>
        </w:r>
        <w:r w:rsidRPr="000D6D94">
          <w:rPr>
            <w:rFonts w:ascii="宋体" w:eastAsia="宋体" w:hAnsi="宋体" w:cs="宋体" w:hint="eastAsia"/>
            <w:color w:val="0055CC"/>
            <w:kern w:val="0"/>
            <w:sz w:val="18"/>
            <w:szCs w:val="18"/>
            <w:lang/>
          </w:rPr>
          <w:br/>
        </w:r>
      </w:hyperlink>
      <w:r w:rsidRPr="000D6D94">
        <w:rPr>
          <w:rFonts w:ascii="宋体" w:eastAsia="宋体" w:hAnsi="宋体" w:cs="宋体" w:hint="eastAsia"/>
          <w:color w:val="2D3339"/>
          <w:kern w:val="0"/>
          <w:sz w:val="18"/>
          <w:szCs w:val="18"/>
          <w:lang/>
        </w:rPr>
        <w:t>*PDF 195KB</w:t>
      </w:r>
    </w:p>
    <w:p w:rsidR="000D6D94" w:rsidRPr="000D6D94" w:rsidRDefault="000D6D94" w:rsidP="000D6D94">
      <w:pPr>
        <w:widowControl/>
        <w:spacing w:before="100" w:beforeAutospacing="1" w:after="100" w:afterAutospacing="1"/>
        <w:jc w:val="left"/>
        <w:rPr>
          <w:rFonts w:ascii="宋体" w:eastAsia="宋体" w:hAnsi="宋体" w:cs="宋体" w:hint="eastAsia"/>
          <w:color w:val="2D3339"/>
          <w:kern w:val="0"/>
          <w:sz w:val="18"/>
          <w:szCs w:val="18"/>
          <w:lang/>
        </w:rPr>
      </w:pPr>
      <w:r w:rsidRPr="000D6D94">
        <w:rPr>
          <w:rFonts w:ascii="宋体" w:eastAsia="宋体" w:hAnsi="宋体" w:cs="宋体" w:hint="eastAsia"/>
          <w:color w:val="2D3339"/>
          <w:kern w:val="0"/>
          <w:sz w:val="18"/>
          <w:szCs w:val="18"/>
          <w:lang/>
        </w:rPr>
        <w:t>担当：村田制作所 元件事业本部　Martin</w:t>
      </w:r>
    </w:p>
    <w:p w:rsidR="00D3227B" w:rsidRDefault="00D3227B"/>
    <w:sectPr w:rsidR="00D3227B" w:rsidSect="00D322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8BA" w:rsidRDefault="00C968BA" w:rsidP="000D6D94">
      <w:r>
        <w:separator/>
      </w:r>
    </w:p>
  </w:endnote>
  <w:endnote w:type="continuationSeparator" w:id="0">
    <w:p w:rsidR="00C968BA" w:rsidRDefault="00C968BA" w:rsidP="000D6D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8BA" w:rsidRDefault="00C968BA" w:rsidP="000D6D94">
      <w:r>
        <w:separator/>
      </w:r>
    </w:p>
  </w:footnote>
  <w:footnote w:type="continuationSeparator" w:id="0">
    <w:p w:rsidR="00C968BA" w:rsidRDefault="00C968BA" w:rsidP="000D6D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6D94"/>
    <w:rsid w:val="000D6D94"/>
    <w:rsid w:val="00C968BA"/>
    <w:rsid w:val="00D322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27B"/>
    <w:pPr>
      <w:widowControl w:val="0"/>
      <w:jc w:val="both"/>
    </w:pPr>
  </w:style>
  <w:style w:type="paragraph" w:styleId="1">
    <w:name w:val="heading 1"/>
    <w:basedOn w:val="a"/>
    <w:link w:val="1Char"/>
    <w:uiPriority w:val="9"/>
    <w:qFormat/>
    <w:rsid w:val="000D6D94"/>
    <w:pPr>
      <w:widowControl/>
      <w:spacing w:before="100" w:beforeAutospacing="1" w:after="30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6D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6D94"/>
    <w:rPr>
      <w:sz w:val="18"/>
      <w:szCs w:val="18"/>
    </w:rPr>
  </w:style>
  <w:style w:type="paragraph" w:styleId="a4">
    <w:name w:val="footer"/>
    <w:basedOn w:val="a"/>
    <w:link w:val="Char0"/>
    <w:uiPriority w:val="99"/>
    <w:semiHidden/>
    <w:unhideWhenUsed/>
    <w:rsid w:val="000D6D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6D94"/>
    <w:rPr>
      <w:sz w:val="18"/>
      <w:szCs w:val="18"/>
    </w:rPr>
  </w:style>
  <w:style w:type="character" w:customStyle="1" w:styleId="1Char">
    <w:name w:val="标题 1 Char"/>
    <w:basedOn w:val="a0"/>
    <w:link w:val="1"/>
    <w:uiPriority w:val="9"/>
    <w:rsid w:val="000D6D94"/>
    <w:rPr>
      <w:rFonts w:ascii="宋体" w:eastAsia="宋体" w:hAnsi="宋体" w:cs="宋体"/>
      <w:b/>
      <w:bCs/>
      <w:kern w:val="36"/>
      <w:sz w:val="48"/>
      <w:szCs w:val="48"/>
    </w:rPr>
  </w:style>
  <w:style w:type="character" w:styleId="a5">
    <w:name w:val="Hyperlink"/>
    <w:basedOn w:val="a0"/>
    <w:uiPriority w:val="99"/>
    <w:semiHidden/>
    <w:unhideWhenUsed/>
    <w:rsid w:val="000D6D94"/>
    <w:rPr>
      <w:strike w:val="0"/>
      <w:dstrike w:val="0"/>
      <w:color w:val="0055CC"/>
      <w:u w:val="none"/>
      <w:effect w:val="none"/>
    </w:rPr>
  </w:style>
  <w:style w:type="paragraph" w:styleId="a6">
    <w:name w:val="Normal (Web)"/>
    <w:basedOn w:val="a"/>
    <w:uiPriority w:val="99"/>
    <w:semiHidden/>
    <w:unhideWhenUsed/>
    <w:rsid w:val="000D6D94"/>
    <w:pPr>
      <w:widowControl/>
      <w:spacing w:before="100" w:beforeAutospacing="1" w:after="100" w:afterAutospacing="1"/>
      <w:jc w:val="left"/>
    </w:pPr>
    <w:rPr>
      <w:rFonts w:ascii="宋体" w:eastAsia="宋体" w:hAnsi="宋体" w:cs="宋体"/>
      <w:kern w:val="0"/>
      <w:sz w:val="24"/>
      <w:szCs w:val="24"/>
    </w:rPr>
  </w:style>
  <w:style w:type="paragraph" w:customStyle="1" w:styleId="entry-date1">
    <w:name w:val="entry-date1"/>
    <w:basedOn w:val="a"/>
    <w:rsid w:val="000D6D94"/>
    <w:pPr>
      <w:widowControl/>
      <w:spacing w:after="100" w:afterAutospacing="1"/>
      <w:jc w:val="right"/>
    </w:pPr>
    <w:rPr>
      <w:rFonts w:ascii="宋体" w:eastAsia="宋体" w:hAnsi="宋体" w:cs="宋体"/>
      <w:color w:val="BBBBBB"/>
      <w:kern w:val="0"/>
      <w:sz w:val="24"/>
      <w:szCs w:val="24"/>
    </w:rPr>
  </w:style>
  <w:style w:type="character" w:customStyle="1" w:styleId="mt-enclosure">
    <w:name w:val="mt-enclosure"/>
    <w:basedOn w:val="a0"/>
    <w:rsid w:val="000D6D94"/>
  </w:style>
  <w:style w:type="paragraph" w:styleId="a7">
    <w:name w:val="Balloon Text"/>
    <w:basedOn w:val="a"/>
    <w:link w:val="Char1"/>
    <w:uiPriority w:val="99"/>
    <w:semiHidden/>
    <w:unhideWhenUsed/>
    <w:rsid w:val="000D6D94"/>
    <w:rPr>
      <w:sz w:val="18"/>
      <w:szCs w:val="18"/>
    </w:rPr>
  </w:style>
  <w:style w:type="character" w:customStyle="1" w:styleId="Char1">
    <w:name w:val="批注框文本 Char"/>
    <w:basedOn w:val="a0"/>
    <w:link w:val="a7"/>
    <w:uiPriority w:val="99"/>
    <w:semiHidden/>
    <w:rsid w:val="000D6D94"/>
    <w:rPr>
      <w:sz w:val="18"/>
      <w:szCs w:val="18"/>
    </w:rPr>
  </w:style>
</w:styles>
</file>

<file path=word/webSettings.xml><?xml version="1.0" encoding="utf-8"?>
<w:webSettings xmlns:r="http://schemas.openxmlformats.org/officeDocument/2006/relationships" xmlns:w="http://schemas.openxmlformats.org/wordprocessingml/2006/main">
  <w:divs>
    <w:div w:id="735124782">
      <w:bodyDiv w:val="1"/>
      <w:marLeft w:val="0"/>
      <w:marRight w:val="0"/>
      <w:marTop w:val="0"/>
      <w:marBottom w:val="0"/>
      <w:divBdr>
        <w:top w:val="none" w:sz="0" w:space="0" w:color="auto"/>
        <w:left w:val="none" w:sz="0" w:space="0" w:color="auto"/>
        <w:bottom w:val="none" w:sz="0" w:space="0" w:color="auto"/>
        <w:right w:val="none" w:sz="0" w:space="0" w:color="auto"/>
      </w:divBdr>
      <w:divsChild>
        <w:div w:id="1875733950">
          <w:marLeft w:val="0"/>
          <w:marRight w:val="0"/>
          <w:marTop w:val="225"/>
          <w:marBottom w:val="0"/>
          <w:divBdr>
            <w:top w:val="none" w:sz="0" w:space="0" w:color="auto"/>
            <w:left w:val="none" w:sz="0" w:space="0" w:color="auto"/>
            <w:bottom w:val="none" w:sz="0" w:space="0" w:color="auto"/>
            <w:right w:val="none" w:sz="0" w:space="0" w:color="auto"/>
          </w:divBdr>
          <w:divsChild>
            <w:div w:id="2054771844">
              <w:marLeft w:val="300"/>
              <w:marRight w:val="0"/>
              <w:marTop w:val="0"/>
              <w:marBottom w:val="0"/>
              <w:divBdr>
                <w:top w:val="none" w:sz="0" w:space="0" w:color="auto"/>
                <w:left w:val="none" w:sz="0" w:space="0" w:color="auto"/>
                <w:bottom w:val="none" w:sz="0" w:space="0" w:color="auto"/>
                <w:right w:val="none" w:sz="0" w:space="0" w:color="auto"/>
              </w:divBdr>
              <w:divsChild>
                <w:div w:id="902447662">
                  <w:marLeft w:val="0"/>
                  <w:marRight w:val="0"/>
                  <w:marTop w:val="0"/>
                  <w:marBottom w:val="0"/>
                  <w:divBdr>
                    <w:top w:val="none" w:sz="0" w:space="0" w:color="auto"/>
                    <w:left w:val="none" w:sz="0" w:space="0" w:color="auto"/>
                    <w:bottom w:val="none" w:sz="0" w:space="0" w:color="auto"/>
                    <w:right w:val="none" w:sz="0" w:space="0" w:color="auto"/>
                  </w:divBdr>
                  <w:divsChild>
                    <w:div w:id="1138456656">
                      <w:marLeft w:val="0"/>
                      <w:marRight w:val="0"/>
                      <w:marTop w:val="0"/>
                      <w:marBottom w:val="0"/>
                      <w:divBdr>
                        <w:top w:val="none" w:sz="0" w:space="0" w:color="auto"/>
                        <w:left w:val="none" w:sz="0" w:space="0" w:color="auto"/>
                        <w:bottom w:val="none" w:sz="0" w:space="0" w:color="auto"/>
                        <w:right w:val="none" w:sz="0" w:space="0" w:color="auto"/>
                      </w:divBdr>
                      <w:divsChild>
                        <w:div w:id="1057514391">
                          <w:marLeft w:val="225"/>
                          <w:marRight w:val="0"/>
                          <w:marTop w:val="0"/>
                          <w:marBottom w:val="0"/>
                          <w:divBdr>
                            <w:top w:val="none" w:sz="0" w:space="0" w:color="auto"/>
                            <w:left w:val="none" w:sz="0" w:space="0" w:color="auto"/>
                            <w:bottom w:val="none" w:sz="0" w:space="0" w:color="auto"/>
                            <w:right w:val="none" w:sz="0" w:space="0" w:color="auto"/>
                          </w:divBdr>
                          <w:divsChild>
                            <w:div w:id="1952129381">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rata.com.cn/products/emicon_fun/assets_c/2012/06/cap_20120514_kan1-2809.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urata.com.cn/products/capacitor/design/faq/mlcc/images/sokutei.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142</Words>
  <Characters>815</Characters>
  <Application>Microsoft Office Word</Application>
  <DocSecurity>0</DocSecurity>
  <Lines>6</Lines>
  <Paragraphs>1</Paragraphs>
  <ScaleCrop>false</ScaleCrop>
  <Company>WwW.YlmF.CoM</Company>
  <LinksUpToDate>false</LinksUpToDate>
  <CharactersWithSpaces>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lotus</dc:creator>
  <cp:keywords/>
  <dc:description/>
  <cp:lastModifiedBy>lotus</cp:lastModifiedBy>
  <cp:revision>3</cp:revision>
  <dcterms:created xsi:type="dcterms:W3CDTF">2012-07-16T08:07:00Z</dcterms:created>
  <dcterms:modified xsi:type="dcterms:W3CDTF">2012-07-16T08:09:00Z</dcterms:modified>
</cp:coreProperties>
</file>